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65" w:rsidRPr="00F20590" w:rsidRDefault="00120D65">
      <w:pPr>
        <w:rPr>
          <w:rFonts w:ascii="Sylfaen" w:hAnsi="Sylfaen"/>
          <w:sz w:val="18"/>
          <w:szCs w:val="18"/>
          <w:lang w:val="ka-GE"/>
        </w:rPr>
      </w:pPr>
    </w:p>
    <w:p w:rsidR="00F20590" w:rsidRPr="00F20590" w:rsidRDefault="00F20590" w:rsidP="00F20590">
      <w:pPr>
        <w:shd w:val="clear" w:color="auto" w:fill="FFFFFF"/>
        <w:spacing w:line="273" w:lineRule="atLeast"/>
        <w:jc w:val="center"/>
        <w:rPr>
          <w:rFonts w:ascii="Sylfaen" w:hAnsi="Sylfaen"/>
          <w:sz w:val="18"/>
          <w:szCs w:val="18"/>
        </w:rPr>
      </w:pPr>
      <w:r w:rsidRPr="00F20590">
        <w:rPr>
          <w:rFonts w:ascii="Sylfaen" w:hAnsi="Sylfaen"/>
          <w:noProof/>
          <w:sz w:val="18"/>
          <w:szCs w:val="18"/>
        </w:rPr>
        <w:drawing>
          <wp:inline distT="0" distB="0" distL="0" distR="0" wp14:anchorId="1AC1CAAC" wp14:editId="1788E388">
            <wp:extent cx="2842260" cy="13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_ GE &amp; EN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260" cy="1369264"/>
                    </a:xfrm>
                    <a:prstGeom prst="rect">
                      <a:avLst/>
                    </a:prstGeom>
                  </pic:spPr>
                </pic:pic>
              </a:graphicData>
            </a:graphic>
          </wp:inline>
        </w:drawing>
      </w:r>
    </w:p>
    <w:p w:rsidR="00F20590" w:rsidRPr="002E3727" w:rsidRDefault="00F20590" w:rsidP="00F20590">
      <w:pPr>
        <w:shd w:val="clear" w:color="auto" w:fill="FFFFFF"/>
        <w:spacing w:line="273" w:lineRule="atLeast"/>
        <w:jc w:val="both"/>
        <w:rPr>
          <w:rFonts w:ascii="Sylfaen" w:hAnsi="Sylfaen"/>
          <w:sz w:val="18"/>
          <w:szCs w:val="18"/>
        </w:rPr>
      </w:pPr>
      <w:r w:rsidRPr="002E3727">
        <w:rPr>
          <w:rFonts w:ascii="Sylfaen" w:hAnsi="Sylfaen"/>
          <w:sz w:val="18"/>
          <w:szCs w:val="18"/>
          <w:lang w:val="ka-GE"/>
        </w:rPr>
        <w:t>სს „ფინკა ბანკი საქართველო“ საერთაშორისო საფინანსო ჰოლდინგის ნაწილია. ჰოლდინგში ფინკას პარტნიორები არიან საერთაშორისო საფინანსო კორპორაცია (IFC, World Bank Group), KfW Bankengruppe, FMO, გერმანიის განვითარების ბანკი, ნიდერლანდების განვითარების ბანკი, responsAbility GLobal Microfinance Fund, Triple Jump და სხვა საერთაშორისო საფინანსო ორგანიზაციები.  ფინკა ბანკის სერვისცენტრების ქსელი საქართველოს თითქმის ყველა რეგიონს მოიცავს.</w:t>
      </w:r>
      <w:r w:rsidRPr="002E3727">
        <w:rPr>
          <w:rFonts w:ascii="Sylfaen" w:hAnsi="Sylfaen"/>
          <w:sz w:val="18"/>
          <w:szCs w:val="18"/>
        </w:rPr>
        <w:t xml:space="preserve"> </w:t>
      </w:r>
      <w:r w:rsidRPr="002E3727">
        <w:rPr>
          <w:rFonts w:ascii="Sylfaen" w:hAnsi="Sylfaen"/>
          <w:sz w:val="18"/>
          <w:szCs w:val="18"/>
          <w:lang w:val="ka-GE"/>
        </w:rPr>
        <w:t xml:space="preserve"> </w:t>
      </w:r>
    </w:p>
    <w:p w:rsidR="00F20590" w:rsidRDefault="00F20590" w:rsidP="00F20590">
      <w:pPr>
        <w:shd w:val="clear" w:color="auto" w:fill="FFFFFF"/>
        <w:spacing w:line="273" w:lineRule="atLeast"/>
        <w:jc w:val="both"/>
        <w:rPr>
          <w:rFonts w:ascii="Sylfaen" w:hAnsi="Sylfaen"/>
          <w:sz w:val="18"/>
          <w:szCs w:val="18"/>
        </w:rPr>
      </w:pPr>
      <w:r w:rsidRPr="002E3727">
        <w:rPr>
          <w:rFonts w:ascii="Sylfaen" w:hAnsi="Sylfaen"/>
          <w:sz w:val="18"/>
          <w:szCs w:val="18"/>
          <w:lang w:val="ka-GE"/>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rsidR="00F20590" w:rsidRPr="00F20590" w:rsidRDefault="00F20590" w:rsidP="00F20590">
      <w:pPr>
        <w:shd w:val="clear" w:color="auto" w:fill="FFFFFF"/>
        <w:spacing w:line="273" w:lineRule="atLeast"/>
        <w:jc w:val="both"/>
        <w:rPr>
          <w:rFonts w:ascii="Sylfaen" w:hAnsi="Sylfaen"/>
          <w:sz w:val="18"/>
          <w:szCs w:val="18"/>
        </w:rPr>
      </w:pPr>
    </w:p>
    <w:tbl>
      <w:tblPr>
        <w:tblW w:w="0" w:type="auto"/>
        <w:tblInd w:w="-180" w:type="dxa"/>
        <w:tblLayout w:type="fixed"/>
        <w:tblCellMar>
          <w:top w:w="15" w:type="dxa"/>
          <w:left w:w="15" w:type="dxa"/>
          <w:bottom w:w="15" w:type="dxa"/>
          <w:right w:w="15" w:type="dxa"/>
        </w:tblCellMar>
        <w:tblLook w:val="04A0" w:firstRow="1" w:lastRow="0" w:firstColumn="1" w:lastColumn="0" w:noHBand="0" w:noVBand="1"/>
      </w:tblPr>
      <w:tblGrid>
        <w:gridCol w:w="9630"/>
      </w:tblGrid>
      <w:tr w:rsidR="00FD70CF" w:rsidRPr="00F20590" w:rsidTr="0022525B">
        <w:trPr>
          <w:trHeight w:val="1323"/>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5D5CB0" w:rsidRPr="00F20590" w:rsidRDefault="005D5CB0" w:rsidP="005D5CB0">
            <w:pPr>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სს „ფინკა ბანკი საქართველო“ აცხადებს ტენდერს:</w:t>
            </w:r>
          </w:p>
          <w:p w:rsidR="00FD70CF" w:rsidRPr="00F20590" w:rsidRDefault="005D5CB0" w:rsidP="000C67D7">
            <w:pPr>
              <w:rPr>
                <w:rFonts w:ascii="Sylfaen" w:eastAsia="Times New Roman" w:hAnsi="Sylfaen" w:cs="Times New Roman"/>
                <w:color w:val="000000"/>
                <w:sz w:val="18"/>
                <w:szCs w:val="18"/>
                <w:lang w:val="ka-GE"/>
              </w:rPr>
            </w:pPr>
            <w:r w:rsidRPr="00F20590">
              <w:rPr>
                <w:rFonts w:ascii="Sylfaen" w:eastAsia="Times New Roman" w:hAnsi="Sylfaen" w:cs="Times New Roman"/>
                <w:b/>
                <w:bCs/>
                <w:color w:val="000000"/>
                <w:sz w:val="18"/>
                <w:szCs w:val="18"/>
                <w:lang w:val="ka-GE"/>
              </w:rPr>
              <w:t>ორგანიზაციის ქონების</w:t>
            </w:r>
            <w:r w:rsidR="0091123F" w:rsidRPr="00F20590">
              <w:rPr>
                <w:rFonts w:ascii="Sylfaen" w:eastAsia="Times New Roman" w:hAnsi="Sylfaen" w:cs="Times New Roman"/>
                <w:b/>
                <w:bCs/>
                <w:color w:val="000000"/>
                <w:sz w:val="18"/>
                <w:szCs w:val="18"/>
                <w:lang w:val="ka-GE"/>
              </w:rPr>
              <w:t xml:space="preserve"> </w:t>
            </w:r>
            <w:r w:rsidRPr="00F20590">
              <w:rPr>
                <w:rFonts w:ascii="Sylfaen" w:eastAsia="Times New Roman" w:hAnsi="Sylfaen" w:cs="Times New Roman"/>
                <w:b/>
                <w:bCs/>
                <w:color w:val="000000"/>
                <w:sz w:val="18"/>
                <w:szCs w:val="18"/>
                <w:lang w:val="ka-GE"/>
              </w:rPr>
              <w:t>დაზღვევაზე (თბილისსა და რეგიონებში)</w:t>
            </w:r>
            <w:r w:rsidRPr="00F20590">
              <w:rPr>
                <w:rFonts w:ascii="Sylfaen" w:eastAsia="Times New Roman" w:hAnsi="Sylfaen" w:cs="Times New Roman"/>
                <w:b/>
                <w:bCs/>
                <w:color w:val="000000"/>
                <w:sz w:val="18"/>
                <w:szCs w:val="18"/>
              </w:rPr>
              <w:t>.</w:t>
            </w:r>
          </w:p>
        </w:tc>
      </w:tr>
      <w:tr w:rsidR="00FD70CF" w:rsidRPr="00F20590" w:rsidTr="0022525B">
        <w:trPr>
          <w:trHeight w:val="142"/>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FD70CF" w:rsidRPr="00F20590" w:rsidRDefault="00170623" w:rsidP="005A24F8">
            <w:p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ხელშეკრულება დაიდება 1 წლის ვადით.</w:t>
            </w:r>
          </w:p>
        </w:tc>
      </w:tr>
      <w:tr w:rsidR="00FD70CF" w:rsidRPr="00F20590" w:rsidTr="00106B3C">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B320EA" w:rsidRPr="00F20590" w:rsidRDefault="00B320EA" w:rsidP="004762EF">
            <w:p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და</w:t>
            </w:r>
            <w:r w:rsidR="00766F1B" w:rsidRPr="00F20590">
              <w:rPr>
                <w:rFonts w:ascii="Sylfaen" w:eastAsia="Times New Roman" w:hAnsi="Sylfaen" w:cs="Times New Roman"/>
                <w:color w:val="000000"/>
                <w:sz w:val="18"/>
                <w:szCs w:val="18"/>
                <w:lang w:val="ka-GE"/>
              </w:rPr>
              <w:t>საზღვევი</w:t>
            </w:r>
            <w:r w:rsidRPr="00F20590">
              <w:rPr>
                <w:rFonts w:ascii="Sylfaen" w:eastAsia="Times New Roman" w:hAnsi="Sylfaen" w:cs="Times New Roman"/>
                <w:color w:val="000000"/>
                <w:sz w:val="18"/>
                <w:szCs w:val="18"/>
                <w:lang w:val="ka-GE"/>
              </w:rPr>
              <w:t xml:space="preserve"> ქონების </w:t>
            </w:r>
            <w:r w:rsidR="0093116F" w:rsidRPr="00F20590">
              <w:rPr>
                <w:rFonts w:ascii="Sylfaen" w:eastAsia="Times New Roman" w:hAnsi="Sylfaen" w:cs="Times New Roman"/>
                <w:color w:val="000000"/>
                <w:sz w:val="18"/>
                <w:szCs w:val="18"/>
                <w:lang w:val="ka-GE"/>
              </w:rPr>
              <w:t>(</w:t>
            </w:r>
            <w:r w:rsidR="008D3B50" w:rsidRPr="00F20590">
              <w:rPr>
                <w:rFonts w:ascii="Sylfaen" w:eastAsia="Times New Roman" w:hAnsi="Sylfaen" w:cs="Times New Roman"/>
                <w:color w:val="000000"/>
                <w:sz w:val="18"/>
                <w:szCs w:val="18"/>
                <w:lang w:val="ka-GE"/>
              </w:rPr>
              <w:t>ორგანიზაციის ქონება: ავეჯი და კომპიუტერული ტექნიკა</w:t>
            </w:r>
            <w:r w:rsidR="0091123F" w:rsidRPr="00F20590">
              <w:rPr>
                <w:rFonts w:ascii="Sylfaen" w:eastAsia="Times New Roman" w:hAnsi="Sylfaen" w:cs="Times New Roman"/>
                <w:color w:val="000000"/>
                <w:sz w:val="18"/>
                <w:szCs w:val="18"/>
                <w:lang w:val="ka-GE"/>
              </w:rPr>
              <w:t>, გარე აბრა; სარემონტო სამუშაოები</w:t>
            </w:r>
            <w:r w:rsidR="0093116F" w:rsidRPr="00F20590">
              <w:rPr>
                <w:rFonts w:ascii="Sylfaen" w:eastAsia="Times New Roman" w:hAnsi="Sylfaen" w:cs="Times New Roman"/>
                <w:color w:val="000000"/>
                <w:sz w:val="18"/>
                <w:szCs w:val="18"/>
                <w:lang w:val="ka-GE"/>
              </w:rPr>
              <w:t xml:space="preserve">) </w:t>
            </w:r>
            <w:r w:rsidRPr="00F20590">
              <w:rPr>
                <w:rFonts w:ascii="Sylfaen" w:eastAsia="Times New Roman" w:hAnsi="Sylfaen" w:cs="Times New Roman"/>
                <w:color w:val="000000"/>
                <w:sz w:val="18"/>
                <w:szCs w:val="18"/>
                <w:lang w:val="ka-GE"/>
              </w:rPr>
              <w:t>სავარაუდო ღირებულებაა</w:t>
            </w:r>
            <w:r w:rsidR="00766F1B" w:rsidRPr="00F20590">
              <w:rPr>
                <w:rFonts w:ascii="Sylfaen" w:eastAsia="Times New Roman" w:hAnsi="Sylfaen" w:cs="Times New Roman"/>
                <w:color w:val="000000"/>
                <w:sz w:val="18"/>
                <w:szCs w:val="18"/>
                <w:lang w:val="ka-GE"/>
              </w:rPr>
              <w:t xml:space="preserve"> </w:t>
            </w:r>
            <w:r w:rsidR="00F3582E" w:rsidRPr="00F20590">
              <w:rPr>
                <w:rFonts w:ascii="Sylfaen" w:eastAsia="Times New Roman" w:hAnsi="Sylfaen" w:cs="Times New Roman"/>
                <w:color w:val="000000"/>
                <w:sz w:val="18"/>
                <w:szCs w:val="18"/>
              </w:rPr>
              <w:t xml:space="preserve"> </w:t>
            </w:r>
            <w:r w:rsidR="004762EF">
              <w:rPr>
                <w:rFonts w:ascii="Sylfaen" w:eastAsia="Times New Roman" w:hAnsi="Sylfaen" w:cs="Times New Roman"/>
                <w:color w:val="000000"/>
                <w:sz w:val="18"/>
                <w:szCs w:val="18"/>
              </w:rPr>
              <w:t>4</w:t>
            </w:r>
            <w:r w:rsidR="00F3582E" w:rsidRPr="00F20590">
              <w:rPr>
                <w:rFonts w:ascii="Sylfaen" w:eastAsia="Times New Roman" w:hAnsi="Sylfaen" w:cs="Times New Roman"/>
                <w:sz w:val="18"/>
                <w:szCs w:val="18"/>
              </w:rPr>
              <w:t xml:space="preserve"> </w:t>
            </w:r>
            <w:r w:rsidR="00F3582E" w:rsidRPr="00F20590">
              <w:rPr>
                <w:rFonts w:ascii="Sylfaen" w:eastAsia="Times New Roman" w:hAnsi="Sylfaen" w:cs="Times New Roman"/>
                <w:sz w:val="18"/>
                <w:szCs w:val="18"/>
                <w:lang w:val="ka-GE"/>
              </w:rPr>
              <w:t>მილიონი</w:t>
            </w:r>
            <w:r w:rsidR="00766F1B" w:rsidRPr="00F20590">
              <w:rPr>
                <w:rFonts w:ascii="Sylfaen" w:eastAsia="Times New Roman" w:hAnsi="Sylfaen" w:cs="Times New Roman"/>
                <w:sz w:val="18"/>
                <w:szCs w:val="18"/>
                <w:lang w:val="ka-GE"/>
              </w:rPr>
              <w:t xml:space="preserve"> </w:t>
            </w:r>
            <w:r w:rsidR="00766F1B" w:rsidRPr="00F20590">
              <w:rPr>
                <w:rFonts w:ascii="Sylfaen" w:eastAsia="Times New Roman" w:hAnsi="Sylfaen" w:cs="Times New Roman"/>
                <w:color w:val="000000"/>
                <w:sz w:val="18"/>
                <w:szCs w:val="18"/>
                <w:lang w:val="ka-GE"/>
              </w:rPr>
              <w:t>ლარი, რაც</w:t>
            </w:r>
            <w:r w:rsidRPr="00F20590">
              <w:rPr>
                <w:rFonts w:ascii="Sylfaen" w:eastAsia="Times New Roman" w:hAnsi="Sylfaen" w:cs="Times New Roman"/>
                <w:color w:val="000000"/>
                <w:sz w:val="18"/>
                <w:szCs w:val="18"/>
                <w:lang w:val="ka-GE"/>
              </w:rPr>
              <w:t xml:space="preserve"> ეტაპობრივად გაიზრდება. </w:t>
            </w:r>
          </w:p>
        </w:tc>
      </w:tr>
      <w:tr w:rsidR="00FD70CF" w:rsidRPr="003E088C" w:rsidTr="00F20590">
        <w:trPr>
          <w:trHeight w:val="9970"/>
        </w:trPr>
        <w:tc>
          <w:tcPr>
            <w:tcW w:w="9630" w:type="dxa"/>
            <w:tcBorders>
              <w:top w:val="single" w:sz="2" w:space="0" w:color="DADADA"/>
              <w:left w:val="single" w:sz="2" w:space="0" w:color="DADADA"/>
              <w:bottom w:val="single" w:sz="6" w:space="0" w:color="DADADA"/>
              <w:right w:val="single" w:sz="2" w:space="0" w:color="DADADA"/>
            </w:tcBorders>
            <w:tcMar>
              <w:top w:w="90" w:type="dxa"/>
              <w:left w:w="90" w:type="dxa"/>
              <w:bottom w:w="90" w:type="dxa"/>
              <w:right w:w="90" w:type="dxa"/>
            </w:tcMar>
            <w:vAlign w:val="center"/>
            <w:hideMark/>
          </w:tcPr>
          <w:p w:rsidR="007F589D" w:rsidRPr="00F20590" w:rsidRDefault="00F02DA6" w:rsidP="0022525B">
            <w:pPr>
              <w:spacing w:after="0" w:line="240" w:lineRule="auto"/>
              <w:jc w:val="both"/>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lastRenderedPageBreak/>
              <w:t>ტენდერ</w:t>
            </w:r>
            <w:r w:rsidR="00BB5107" w:rsidRPr="00F20590">
              <w:rPr>
                <w:rFonts w:ascii="Sylfaen" w:eastAsia="Times New Roman" w:hAnsi="Sylfaen" w:cs="Times New Roman"/>
                <w:color w:val="000000"/>
                <w:sz w:val="18"/>
                <w:szCs w:val="18"/>
                <w:lang w:val="ka-GE"/>
              </w:rPr>
              <w:t>ში მონაწილე სადაზღვევო</w:t>
            </w:r>
            <w:r w:rsidRPr="00F20590">
              <w:rPr>
                <w:rFonts w:ascii="Sylfaen" w:eastAsia="Times New Roman" w:hAnsi="Sylfaen" w:cs="Times New Roman"/>
                <w:color w:val="000000"/>
                <w:sz w:val="18"/>
                <w:szCs w:val="18"/>
                <w:lang w:val="ka-GE"/>
              </w:rPr>
              <w:t xml:space="preserve"> კომპანიებმა უნდა გაითვალისწინონ</w:t>
            </w:r>
            <w:r w:rsidR="00BB5107" w:rsidRPr="00F20590">
              <w:rPr>
                <w:rFonts w:ascii="Sylfaen" w:eastAsia="Times New Roman" w:hAnsi="Sylfaen" w:cs="Times New Roman"/>
                <w:color w:val="000000"/>
                <w:sz w:val="18"/>
                <w:szCs w:val="18"/>
                <w:lang w:val="ka-GE"/>
              </w:rPr>
              <w:t xml:space="preserve">  შემდეგი აუცილებე</w:t>
            </w:r>
            <w:r w:rsidRPr="00F20590">
              <w:rPr>
                <w:rFonts w:ascii="Sylfaen" w:eastAsia="Times New Roman" w:hAnsi="Sylfaen" w:cs="Times New Roman"/>
                <w:color w:val="000000"/>
                <w:sz w:val="18"/>
                <w:szCs w:val="18"/>
                <w:lang w:val="ka-GE"/>
              </w:rPr>
              <w:t>ლ</w:t>
            </w:r>
            <w:r w:rsidR="003117E1" w:rsidRPr="00F20590">
              <w:rPr>
                <w:rFonts w:ascii="Sylfaen" w:eastAsia="Times New Roman" w:hAnsi="Sylfaen" w:cs="Times New Roman"/>
                <w:color w:val="000000"/>
                <w:sz w:val="18"/>
                <w:szCs w:val="18"/>
                <w:lang w:val="ka-GE"/>
              </w:rPr>
              <w:t>ი პირობ</w:t>
            </w:r>
            <w:r w:rsidR="00A0049D" w:rsidRPr="00F20590">
              <w:rPr>
                <w:rFonts w:ascii="Sylfaen" w:eastAsia="Times New Roman" w:hAnsi="Sylfaen" w:cs="Times New Roman"/>
                <w:color w:val="000000"/>
                <w:sz w:val="18"/>
                <w:szCs w:val="18"/>
                <w:lang w:val="ka-GE"/>
              </w:rPr>
              <w:t>ები</w:t>
            </w:r>
            <w:r w:rsidR="00106B3C" w:rsidRPr="00F20590">
              <w:rPr>
                <w:rFonts w:ascii="Sylfaen" w:eastAsia="Times New Roman" w:hAnsi="Sylfaen" w:cs="Times New Roman"/>
                <w:color w:val="000000"/>
                <w:sz w:val="18"/>
                <w:szCs w:val="18"/>
                <w:lang w:val="ka-GE"/>
              </w:rPr>
              <w:t xml:space="preserve"> მათ მიერ წარმოდგენილ</w:t>
            </w:r>
            <w:r w:rsidR="007F589D" w:rsidRPr="00F20590">
              <w:rPr>
                <w:rFonts w:ascii="Sylfaen" w:eastAsia="Times New Roman" w:hAnsi="Sylfaen" w:cs="Times New Roman"/>
                <w:color w:val="000000"/>
                <w:sz w:val="18"/>
                <w:szCs w:val="18"/>
                <w:lang w:val="ka-GE"/>
              </w:rPr>
              <w:t xml:space="preserve"> </w:t>
            </w:r>
            <w:r w:rsidRPr="00F20590">
              <w:rPr>
                <w:rFonts w:ascii="Sylfaen" w:eastAsia="Times New Roman" w:hAnsi="Sylfaen" w:cs="Times New Roman"/>
                <w:color w:val="000000"/>
                <w:sz w:val="18"/>
                <w:szCs w:val="18"/>
                <w:lang w:val="ka-GE"/>
              </w:rPr>
              <w:t>შემოთავაზებებში</w:t>
            </w:r>
            <w:r w:rsidR="00BB5107" w:rsidRPr="00F20590">
              <w:rPr>
                <w:rFonts w:ascii="Sylfaen" w:eastAsia="Times New Roman" w:hAnsi="Sylfaen" w:cs="Times New Roman"/>
                <w:color w:val="000000"/>
                <w:sz w:val="18"/>
                <w:szCs w:val="18"/>
                <w:lang w:val="ka-GE"/>
              </w:rPr>
              <w:t>:</w:t>
            </w:r>
            <w:r w:rsidR="007F589D" w:rsidRPr="00F20590">
              <w:rPr>
                <w:rFonts w:ascii="Sylfaen" w:eastAsia="Times New Roman" w:hAnsi="Sylfaen" w:cs="Times New Roman"/>
                <w:color w:val="000000"/>
                <w:sz w:val="18"/>
                <w:szCs w:val="18"/>
                <w:lang w:val="ka-GE"/>
              </w:rPr>
              <w:t xml:space="preserve"> </w:t>
            </w:r>
          </w:p>
          <w:p w:rsidR="00CC3B91" w:rsidRPr="00F20590" w:rsidRDefault="00FD70CF" w:rsidP="0022525B">
            <w:pPr>
              <w:spacing w:after="0" w:line="240" w:lineRule="auto"/>
              <w:jc w:val="both"/>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rPr>
              <w:br/>
            </w:r>
            <w:r w:rsidR="00CC3B91" w:rsidRPr="00F20590">
              <w:rPr>
                <w:rFonts w:ascii="Sylfaen" w:eastAsia="Times New Roman" w:hAnsi="Sylfaen" w:cs="Times New Roman"/>
                <w:b/>
                <w:color w:val="000000"/>
                <w:sz w:val="18"/>
                <w:szCs w:val="18"/>
                <w:lang w:val="ka-GE"/>
              </w:rPr>
              <w:t>აუცილებელი პირობა:</w:t>
            </w:r>
            <w:r w:rsidR="00CC3B91" w:rsidRPr="00F20590">
              <w:rPr>
                <w:rFonts w:ascii="Sylfaen" w:eastAsia="Times New Roman" w:hAnsi="Sylfaen" w:cs="Times New Roman"/>
                <w:color w:val="000000"/>
                <w:sz w:val="18"/>
                <w:szCs w:val="18"/>
                <w:lang w:val="ka-GE"/>
              </w:rPr>
              <w:t xml:space="preserve"> </w:t>
            </w:r>
          </w:p>
          <w:p w:rsidR="00CC3B91" w:rsidRPr="00F20590" w:rsidRDefault="00CC3B91" w:rsidP="00CC3B91">
            <w:pPr>
              <w:spacing w:after="0" w:line="240" w:lineRule="auto"/>
              <w:rPr>
                <w:rFonts w:ascii="Sylfaen" w:eastAsia="Times New Roman" w:hAnsi="Sylfaen" w:cs="Times New Roman"/>
                <w:color w:val="000000"/>
                <w:sz w:val="18"/>
                <w:szCs w:val="18"/>
                <w:lang w:val="ka-GE"/>
              </w:rPr>
            </w:pPr>
          </w:p>
          <w:p w:rsidR="0091123F" w:rsidRPr="00F20590" w:rsidRDefault="00A0049D" w:rsidP="0091123F">
            <w:pPr>
              <w:rPr>
                <w:rFonts w:ascii="Sylfaen" w:eastAsia="Times New Roman" w:hAnsi="Sylfaen" w:cs="Times New Roman"/>
                <w:color w:val="000000"/>
                <w:sz w:val="18"/>
                <w:szCs w:val="18"/>
                <w:lang w:val="ka-GE"/>
              </w:rPr>
            </w:pPr>
            <w:r w:rsidRPr="00F20590">
              <w:rPr>
                <w:rFonts w:ascii="Sylfaen" w:eastAsia="Times New Roman" w:hAnsi="Sylfaen" w:cs="Times New Roman"/>
                <w:bCs/>
                <w:color w:val="000000"/>
                <w:sz w:val="18"/>
                <w:szCs w:val="18"/>
                <w:lang w:val="ka-GE"/>
              </w:rPr>
              <w:t>სადაზღვევო რისკები</w:t>
            </w:r>
            <w:r w:rsidR="0018538D" w:rsidRPr="00F20590">
              <w:rPr>
                <w:rFonts w:ascii="Sylfaen" w:eastAsia="Times New Roman" w:hAnsi="Sylfaen" w:cs="Times New Roman"/>
                <w:bCs/>
                <w:color w:val="000000"/>
                <w:sz w:val="18"/>
                <w:szCs w:val="18"/>
                <w:lang w:val="ka-GE"/>
              </w:rPr>
              <w:t xml:space="preserve">, </w:t>
            </w:r>
            <w:r w:rsidR="00170623" w:rsidRPr="00F20590">
              <w:rPr>
                <w:rFonts w:ascii="Sylfaen" w:eastAsia="Times New Roman" w:hAnsi="Sylfaen" w:cs="Times New Roman"/>
                <w:bCs/>
                <w:color w:val="000000"/>
                <w:sz w:val="18"/>
                <w:szCs w:val="18"/>
                <w:lang w:val="ka-GE"/>
              </w:rPr>
              <w:t>კერძოდ:</w:t>
            </w:r>
            <w:r w:rsidR="00E03F9E" w:rsidRPr="00F20590">
              <w:rPr>
                <w:rFonts w:ascii="Sylfaen" w:eastAsia="Times New Roman" w:hAnsi="Sylfaen" w:cs="Times New Roman"/>
                <w:bCs/>
                <w:color w:val="000000"/>
                <w:sz w:val="18"/>
                <w:szCs w:val="18"/>
              </w:rPr>
              <w:t xml:space="preserve"> </w:t>
            </w:r>
            <w:r w:rsidRPr="00F20590">
              <w:rPr>
                <w:rFonts w:ascii="Sylfaen" w:eastAsia="Times New Roman" w:hAnsi="Sylfaen" w:cs="Times New Roman"/>
                <w:bCs/>
                <w:color w:val="000000"/>
                <w:sz w:val="18"/>
                <w:szCs w:val="18"/>
                <w:lang w:val="ka-GE"/>
              </w:rPr>
              <w:t>ხანძარი,</w:t>
            </w:r>
            <w:r w:rsidR="00170623" w:rsidRPr="00F20590">
              <w:rPr>
                <w:rFonts w:ascii="Sylfaen" w:eastAsia="Times New Roman" w:hAnsi="Sylfaen" w:cs="Times New Roman"/>
                <w:bCs/>
                <w:color w:val="000000"/>
                <w:sz w:val="18"/>
                <w:szCs w:val="18"/>
                <w:lang w:val="ka-GE"/>
              </w:rPr>
              <w:t xml:space="preserve"> წყალდიდობა,</w:t>
            </w:r>
            <w:r w:rsidRPr="00F20590">
              <w:rPr>
                <w:rFonts w:ascii="Sylfaen" w:eastAsia="Times New Roman" w:hAnsi="Sylfaen" w:cs="Times New Roman"/>
                <w:bCs/>
                <w:color w:val="000000"/>
                <w:sz w:val="18"/>
                <w:szCs w:val="18"/>
                <w:lang w:val="ka-GE"/>
              </w:rPr>
              <w:t xml:space="preserve"> აფეთქება, მიწისძვრა, </w:t>
            </w:r>
            <w:r w:rsidR="00E03F9E" w:rsidRPr="00F20590">
              <w:rPr>
                <w:rFonts w:ascii="Sylfaen" w:eastAsia="Times New Roman" w:hAnsi="Sylfaen" w:cs="Times New Roman"/>
                <w:bCs/>
                <w:color w:val="000000"/>
                <w:sz w:val="18"/>
                <w:szCs w:val="18"/>
                <w:lang w:val="ka-GE"/>
              </w:rPr>
              <w:t>შტორმი, ქარიშხალი,</w:t>
            </w:r>
            <w:r w:rsidR="00F3582E" w:rsidRPr="00F20590">
              <w:rPr>
                <w:rFonts w:ascii="LitNusx" w:hAnsi="LitNusx"/>
                <w:noProof/>
                <w:sz w:val="18"/>
                <w:szCs w:val="18"/>
                <w:lang w:val="ka-GE"/>
              </w:rPr>
              <w:t xml:space="preserve"> </w:t>
            </w:r>
            <w:r w:rsidRPr="00F20590">
              <w:rPr>
                <w:rFonts w:ascii="Sylfaen" w:eastAsia="Times New Roman" w:hAnsi="Sylfaen" w:cs="Times New Roman"/>
                <w:bCs/>
                <w:color w:val="000000"/>
                <w:sz w:val="18"/>
                <w:szCs w:val="18"/>
                <w:lang w:val="ka-GE"/>
              </w:rPr>
              <w:t xml:space="preserve">სეტყვა, </w:t>
            </w:r>
            <w:r w:rsidR="00170623" w:rsidRPr="00F20590">
              <w:rPr>
                <w:rFonts w:ascii="Sylfaen" w:eastAsia="Times New Roman" w:hAnsi="Sylfaen" w:cs="Times New Roman"/>
                <w:bCs/>
                <w:color w:val="000000"/>
                <w:sz w:val="18"/>
                <w:szCs w:val="18"/>
                <w:lang w:val="ka-GE"/>
              </w:rPr>
              <w:t xml:space="preserve">მეხის დაცემა, ნიადაგის ჩამოშლა, მეწყერი, თვითმფრინავის ან სხვა საჰაერო ტრანსპორტის და მათი ნაწილების ჩამოვარდნა, უხვთოვლიანობა, წყალგაყვანილობის სისტემის მწყობრიდან უეცარი და მოულოდნელი გამოსვლა </w:t>
            </w:r>
            <w:r w:rsidRPr="00F20590">
              <w:rPr>
                <w:rFonts w:ascii="Sylfaen" w:eastAsia="Times New Roman" w:hAnsi="Sylfaen" w:cs="Times New Roman"/>
                <w:bCs/>
                <w:color w:val="000000"/>
                <w:sz w:val="18"/>
                <w:szCs w:val="18"/>
                <w:lang w:val="ka-GE"/>
              </w:rPr>
              <w:t>მათ შორის ქურდობა, ძარცვა, ყაჩაღობა</w:t>
            </w:r>
            <w:r w:rsidR="00115D93" w:rsidRPr="00F20590">
              <w:rPr>
                <w:rFonts w:ascii="Sylfaen" w:eastAsia="Times New Roman" w:hAnsi="Sylfaen" w:cs="Times New Roman"/>
                <w:color w:val="000000"/>
                <w:sz w:val="18"/>
                <w:szCs w:val="18"/>
                <w:lang w:val="ka-GE"/>
              </w:rPr>
              <w:t xml:space="preserve"> და მათი მცდელობა, მესამე მხარის მიერ განზრახ მიყენებული ზიანი, სატრანსპორტო</w:t>
            </w:r>
            <w:r w:rsidR="0091123F" w:rsidRPr="00F20590">
              <w:rPr>
                <w:rFonts w:ascii="Sylfaen" w:eastAsia="Times New Roman" w:hAnsi="Sylfaen" w:cs="Times New Roman"/>
                <w:color w:val="000000"/>
                <w:sz w:val="18"/>
                <w:szCs w:val="18"/>
                <w:lang w:val="ka-GE"/>
              </w:rPr>
              <w:t xml:space="preserve"> </w:t>
            </w:r>
            <w:r w:rsidR="00115D93" w:rsidRPr="00F20590">
              <w:rPr>
                <w:rFonts w:ascii="Sylfaen" w:eastAsia="Times New Roman" w:hAnsi="Sylfaen" w:cs="Times New Roman"/>
                <w:color w:val="000000"/>
                <w:sz w:val="18"/>
                <w:szCs w:val="18"/>
                <w:lang w:val="ka-GE"/>
              </w:rPr>
              <w:t>საშუალებით მიყენებული ზიანი.</w:t>
            </w:r>
            <w:r w:rsidRPr="00F20590">
              <w:rPr>
                <w:rFonts w:eastAsia="Times New Roman"/>
                <w:sz w:val="18"/>
                <w:szCs w:val="18"/>
                <w:lang w:val="ka-GE"/>
              </w:rPr>
              <w:br/>
            </w:r>
          </w:p>
          <w:p w:rsidR="00102B9B" w:rsidRPr="00F20590" w:rsidRDefault="00102B9B" w:rsidP="0091123F">
            <w:pPr>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კომპანიების მიერ წარმოდგენილი სატენდერო წინადადება უნდა შეიცავდეს შემდეგ ინფორმაციას:</w:t>
            </w:r>
          </w:p>
          <w:p w:rsidR="00E86D18" w:rsidRPr="00F20590" w:rsidRDefault="00E86D18" w:rsidP="000D2764">
            <w:pPr>
              <w:spacing w:after="0" w:line="240" w:lineRule="auto"/>
              <w:jc w:val="both"/>
              <w:rPr>
                <w:rFonts w:ascii="Sylfaen" w:eastAsia="Times New Roman" w:hAnsi="Sylfaen" w:cs="Times New Roman"/>
                <w:color w:val="000000"/>
                <w:sz w:val="18"/>
                <w:szCs w:val="18"/>
              </w:rPr>
            </w:pPr>
          </w:p>
          <w:p w:rsidR="00102B9B" w:rsidRPr="00F20590" w:rsidRDefault="00102B9B" w:rsidP="00102B9B">
            <w:pPr>
              <w:pStyle w:val="ListParagraph"/>
              <w:numPr>
                <w:ilvl w:val="0"/>
                <w:numId w:val="1"/>
              </w:num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სრულად შევსებული თანდართული დოკუმენტი თქვენს მიერ შემოთავაზებულ პროდუქტზე;</w:t>
            </w:r>
          </w:p>
          <w:p w:rsidR="00102B9B" w:rsidRPr="00F20590" w:rsidRDefault="00102B9B" w:rsidP="00102B9B">
            <w:pPr>
              <w:pStyle w:val="ListParagraph"/>
              <w:numPr>
                <w:ilvl w:val="0"/>
                <w:numId w:val="1"/>
              </w:numPr>
              <w:spacing w:after="0" w:line="240" w:lineRule="auto"/>
              <w:rPr>
                <w:rFonts w:ascii="Sylfaen" w:eastAsia="Times New Roman" w:hAnsi="Sylfaen" w:cs="Times New Roman"/>
                <w:color w:val="000000"/>
                <w:sz w:val="18"/>
                <w:szCs w:val="18"/>
                <w:lang w:val="ka-GE"/>
              </w:rPr>
            </w:pPr>
            <w:proofErr w:type="spellStart"/>
            <w:r w:rsidRPr="00F20590">
              <w:rPr>
                <w:rFonts w:ascii="Sylfaen" w:eastAsia="Times New Roman" w:hAnsi="Sylfaen" w:cs="Times New Roman"/>
                <w:color w:val="000000"/>
                <w:sz w:val="18"/>
                <w:szCs w:val="18"/>
              </w:rPr>
              <w:t>ხარჯების</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ანაზღაურების</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პირობები</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საჭირო</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დოკუმენტები</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და</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პროცედურა</w:t>
            </w:r>
            <w:proofErr w:type="spellEnd"/>
            <w:r w:rsidRPr="00F20590">
              <w:rPr>
                <w:rFonts w:ascii="Sylfaen" w:eastAsia="Times New Roman" w:hAnsi="Sylfaen" w:cs="Times New Roman"/>
                <w:color w:val="000000"/>
                <w:sz w:val="18"/>
                <w:szCs w:val="18"/>
              </w:rPr>
              <w:t>;</w:t>
            </w:r>
          </w:p>
          <w:p w:rsidR="00102B9B" w:rsidRPr="00F20590" w:rsidRDefault="00102B9B" w:rsidP="00102B9B">
            <w:pPr>
              <w:pStyle w:val="ListParagraph"/>
              <w:numPr>
                <w:ilvl w:val="0"/>
                <w:numId w:val="1"/>
              </w:numPr>
              <w:spacing w:after="0" w:line="240" w:lineRule="auto"/>
              <w:rPr>
                <w:rFonts w:ascii="Sylfaen" w:eastAsia="Times New Roman" w:hAnsi="Sylfaen" w:cs="Times New Roman"/>
                <w:color w:val="000000"/>
                <w:sz w:val="18"/>
                <w:szCs w:val="18"/>
                <w:lang w:val="ka-GE"/>
              </w:rPr>
            </w:pPr>
            <w:proofErr w:type="spellStart"/>
            <w:r w:rsidRPr="00F20590">
              <w:rPr>
                <w:rFonts w:ascii="Sylfaen" w:eastAsia="Times New Roman" w:hAnsi="Sylfaen" w:cs="Times New Roman"/>
                <w:color w:val="000000"/>
                <w:sz w:val="18"/>
                <w:szCs w:val="18"/>
              </w:rPr>
              <w:t>გამონაკლისების</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დეტალური</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სია</w:t>
            </w:r>
            <w:proofErr w:type="spellEnd"/>
            <w:r w:rsidRPr="00F20590">
              <w:rPr>
                <w:rFonts w:ascii="Sylfaen" w:eastAsia="Times New Roman" w:hAnsi="Sylfaen" w:cs="Times New Roman"/>
                <w:color w:val="000000"/>
                <w:sz w:val="18"/>
                <w:szCs w:val="18"/>
              </w:rPr>
              <w:t xml:space="preserve"> - რ</w:t>
            </w:r>
            <w:r w:rsidR="00B320EA" w:rsidRPr="00F20590">
              <w:rPr>
                <w:rFonts w:ascii="Sylfaen" w:eastAsia="Times New Roman" w:hAnsi="Sylfaen" w:cs="Times New Roman"/>
                <w:color w:val="000000"/>
                <w:sz w:val="18"/>
                <w:szCs w:val="18"/>
                <w:lang w:val="ka-GE"/>
              </w:rPr>
              <w:t xml:space="preserve">ომელიც </w:t>
            </w:r>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არ</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ექვემდებარება</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ანაზღაურებას</w:t>
            </w:r>
            <w:proofErr w:type="spellEnd"/>
            <w:r w:rsidRPr="00F20590">
              <w:rPr>
                <w:rFonts w:ascii="Sylfaen" w:eastAsia="Times New Roman" w:hAnsi="Sylfaen" w:cs="Times New Roman"/>
                <w:color w:val="000000"/>
                <w:sz w:val="18"/>
                <w:szCs w:val="18"/>
              </w:rPr>
              <w:t>;</w:t>
            </w:r>
          </w:p>
          <w:p w:rsidR="00424157" w:rsidRPr="00F20590" w:rsidRDefault="00E64F13" w:rsidP="00CF6F77">
            <w:pPr>
              <w:pStyle w:val="ListParagraph"/>
              <w:numPr>
                <w:ilvl w:val="0"/>
                <w:numId w:val="1"/>
              </w:num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 xml:space="preserve">სადაზღვევო </w:t>
            </w:r>
            <w:proofErr w:type="spellStart"/>
            <w:r w:rsidR="00102B9B" w:rsidRPr="00F20590">
              <w:rPr>
                <w:rFonts w:ascii="Sylfaen" w:eastAsia="Times New Roman" w:hAnsi="Sylfaen" w:cs="Times New Roman"/>
                <w:color w:val="000000"/>
                <w:sz w:val="18"/>
                <w:szCs w:val="18"/>
              </w:rPr>
              <w:t>ანგარიშსწორების</w:t>
            </w:r>
            <w:proofErr w:type="spellEnd"/>
            <w:r w:rsidR="00102B9B" w:rsidRPr="00F20590">
              <w:rPr>
                <w:rFonts w:ascii="Sylfaen" w:eastAsia="Times New Roman" w:hAnsi="Sylfaen" w:cs="Times New Roman"/>
                <w:color w:val="000000"/>
                <w:sz w:val="18"/>
                <w:szCs w:val="18"/>
              </w:rPr>
              <w:t xml:space="preserve"> </w:t>
            </w:r>
            <w:proofErr w:type="spellStart"/>
            <w:r w:rsidR="00102B9B" w:rsidRPr="00F20590">
              <w:rPr>
                <w:rFonts w:ascii="Sylfaen" w:eastAsia="Times New Roman" w:hAnsi="Sylfaen" w:cs="Times New Roman"/>
                <w:color w:val="000000"/>
                <w:sz w:val="18"/>
                <w:szCs w:val="18"/>
              </w:rPr>
              <w:t>პირობები</w:t>
            </w:r>
            <w:proofErr w:type="spellEnd"/>
            <w:r w:rsidR="00102B9B" w:rsidRPr="00F20590">
              <w:rPr>
                <w:rFonts w:ascii="Sylfaen" w:eastAsia="Times New Roman" w:hAnsi="Sylfaen" w:cs="Times New Roman"/>
                <w:color w:val="000000"/>
                <w:sz w:val="18"/>
                <w:szCs w:val="18"/>
              </w:rPr>
              <w:t>;</w:t>
            </w:r>
          </w:p>
          <w:p w:rsidR="00E64F13" w:rsidRPr="00F20590" w:rsidRDefault="00E64F13" w:rsidP="00CF6F77">
            <w:pPr>
              <w:pStyle w:val="ListParagraph"/>
              <w:numPr>
                <w:ilvl w:val="0"/>
                <w:numId w:val="1"/>
              </w:num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სადაზღვევო პრემია;</w:t>
            </w:r>
          </w:p>
          <w:p w:rsidR="00E64F13" w:rsidRPr="00F20590" w:rsidRDefault="00E64F13" w:rsidP="00CF6F77">
            <w:pPr>
              <w:pStyle w:val="ListParagraph"/>
              <w:numPr>
                <w:ilvl w:val="0"/>
                <w:numId w:val="1"/>
              </w:num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ფრანშიზა;</w:t>
            </w:r>
          </w:p>
          <w:p w:rsidR="00E9556F" w:rsidRPr="00F20590" w:rsidRDefault="0091123F" w:rsidP="00CF6F77">
            <w:pPr>
              <w:pStyle w:val="ListParagraph"/>
              <w:numPr>
                <w:ilvl w:val="0"/>
                <w:numId w:val="1"/>
              </w:numPr>
              <w:spacing w:after="0" w:line="240" w:lineRule="auto"/>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 xml:space="preserve">აქტივის ნაწილობრივ ან </w:t>
            </w:r>
            <w:r w:rsidR="00E9556F" w:rsidRPr="00F20590">
              <w:rPr>
                <w:rFonts w:ascii="Sylfaen" w:eastAsia="Times New Roman" w:hAnsi="Sylfaen" w:cs="Times New Roman"/>
                <w:color w:val="000000"/>
                <w:sz w:val="18"/>
                <w:szCs w:val="18"/>
                <w:lang w:val="ka-GE"/>
              </w:rPr>
              <w:t>სრული დაზიანება (განადგურება);</w:t>
            </w:r>
          </w:p>
          <w:p w:rsidR="00102B9B" w:rsidRPr="00F20590" w:rsidRDefault="00E64F13" w:rsidP="00102B9B">
            <w:pPr>
              <w:pStyle w:val="ListParagraph"/>
              <w:numPr>
                <w:ilvl w:val="0"/>
                <w:numId w:val="1"/>
              </w:numPr>
              <w:spacing w:after="0" w:line="240" w:lineRule="auto"/>
              <w:rPr>
                <w:rFonts w:ascii="Sylfaen" w:eastAsia="Times New Roman" w:hAnsi="Sylfaen" w:cs="Times New Roman"/>
                <w:color w:val="000000"/>
                <w:sz w:val="18"/>
                <w:szCs w:val="18"/>
                <w:lang w:val="ka-GE"/>
              </w:rPr>
            </w:pPr>
            <w:proofErr w:type="spellStart"/>
            <w:proofErr w:type="gramStart"/>
            <w:r w:rsidRPr="00F20590">
              <w:rPr>
                <w:rFonts w:ascii="Sylfaen" w:eastAsia="Times New Roman" w:hAnsi="Sylfaen" w:cs="Times New Roman"/>
                <w:color w:val="000000"/>
                <w:sz w:val="18"/>
                <w:szCs w:val="18"/>
              </w:rPr>
              <w:t>ამონაწერი</w:t>
            </w:r>
            <w:proofErr w:type="spellEnd"/>
            <w:proofErr w:type="gram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სამეწარმეო</w:t>
            </w:r>
            <w:proofErr w:type="spellEnd"/>
            <w:r w:rsidRPr="00F20590">
              <w:rPr>
                <w:rFonts w:ascii="Sylfaen" w:eastAsia="Times New Roman" w:hAnsi="Sylfaen" w:cs="Times New Roman"/>
                <w:color w:val="000000"/>
                <w:sz w:val="18"/>
                <w:szCs w:val="18"/>
              </w:rPr>
              <w:t xml:space="preserve"> </w:t>
            </w:r>
            <w:proofErr w:type="spellStart"/>
            <w:r w:rsidRPr="00F20590">
              <w:rPr>
                <w:rFonts w:ascii="Sylfaen" w:eastAsia="Times New Roman" w:hAnsi="Sylfaen" w:cs="Times New Roman"/>
                <w:color w:val="000000"/>
                <w:sz w:val="18"/>
                <w:szCs w:val="18"/>
              </w:rPr>
              <w:t>რეესტრიდან</w:t>
            </w:r>
            <w:proofErr w:type="spellEnd"/>
            <w:r w:rsidR="00B320EA" w:rsidRPr="00F20590">
              <w:rPr>
                <w:rFonts w:ascii="Sylfaen" w:eastAsia="Times New Roman" w:hAnsi="Sylfaen" w:cs="Times New Roman"/>
                <w:color w:val="000000"/>
                <w:sz w:val="18"/>
                <w:szCs w:val="18"/>
                <w:lang w:val="ka-GE"/>
              </w:rPr>
              <w:t>, სრული დოკუმეტაცია კომპანიის შესახებ</w:t>
            </w:r>
            <w:r w:rsidRPr="00F20590">
              <w:rPr>
                <w:rFonts w:ascii="Sylfaen" w:eastAsia="Times New Roman" w:hAnsi="Sylfaen" w:cs="Times New Roman"/>
                <w:color w:val="000000"/>
                <w:sz w:val="18"/>
                <w:szCs w:val="18"/>
                <w:lang w:val="ka-GE"/>
              </w:rPr>
              <w:t>.</w:t>
            </w:r>
            <w:r w:rsidR="008F7D06" w:rsidRPr="00F20590">
              <w:rPr>
                <w:rFonts w:ascii="Sylfaen" w:eastAsia="Times New Roman" w:hAnsi="Sylfaen" w:cs="Times New Roman"/>
                <w:color w:val="000000"/>
                <w:sz w:val="18"/>
                <w:szCs w:val="18"/>
              </w:rPr>
              <w:br/>
            </w:r>
          </w:p>
          <w:p w:rsidR="00102B9B" w:rsidRPr="00F20590" w:rsidRDefault="00102B9B" w:rsidP="0022525B">
            <w:pPr>
              <w:spacing w:after="0" w:line="240" w:lineRule="auto"/>
              <w:rPr>
                <w:rFonts w:ascii="Sylfaen" w:eastAsia="Times New Roman" w:hAnsi="Sylfaen" w:cs="Times New Roman"/>
                <w:color w:val="000000"/>
                <w:sz w:val="18"/>
                <w:szCs w:val="18"/>
              </w:rPr>
            </w:pPr>
          </w:p>
          <w:p w:rsidR="00E83506" w:rsidRPr="00F20590" w:rsidRDefault="00FD70CF" w:rsidP="00E83506">
            <w:pPr>
              <w:rPr>
                <w:rFonts w:ascii="Sylfaen" w:hAnsi="Sylfaen"/>
                <w:color w:val="000000" w:themeColor="text1"/>
                <w:sz w:val="18"/>
                <w:szCs w:val="18"/>
              </w:rPr>
            </w:pPr>
            <w:proofErr w:type="spellStart"/>
            <w:proofErr w:type="gramStart"/>
            <w:r w:rsidRPr="00F20590">
              <w:rPr>
                <w:rFonts w:ascii="Sylfaen" w:eastAsia="Times New Roman" w:hAnsi="Sylfaen" w:cs="Times New Roman"/>
                <w:color w:val="000000"/>
                <w:sz w:val="18"/>
                <w:szCs w:val="18"/>
              </w:rPr>
              <w:t>ფასები</w:t>
            </w:r>
            <w:proofErr w:type="spellEnd"/>
            <w:proofErr w:type="gramEnd"/>
            <w:r w:rsidRPr="00F20590">
              <w:rPr>
                <w:rFonts w:ascii="Sylfaen" w:eastAsia="Times New Roman" w:hAnsi="Sylfaen" w:cs="Times New Roman"/>
                <w:color w:val="000000"/>
                <w:sz w:val="18"/>
                <w:szCs w:val="18"/>
              </w:rPr>
              <w:t xml:space="preserve"> </w:t>
            </w:r>
            <w:r w:rsidR="00C52C6B" w:rsidRPr="00F20590">
              <w:rPr>
                <w:rFonts w:ascii="Sylfaen" w:eastAsia="Times New Roman" w:hAnsi="Sylfaen" w:cs="Times New Roman"/>
                <w:color w:val="000000"/>
                <w:sz w:val="18"/>
                <w:szCs w:val="18"/>
                <w:lang w:val="ka-GE"/>
              </w:rPr>
              <w:t xml:space="preserve">მოწოდებული </w:t>
            </w:r>
            <w:r w:rsidR="007E4945" w:rsidRPr="00F20590">
              <w:rPr>
                <w:rFonts w:ascii="Sylfaen" w:eastAsia="Times New Roman" w:hAnsi="Sylfaen" w:cs="Times New Roman"/>
                <w:color w:val="000000"/>
                <w:sz w:val="18"/>
                <w:szCs w:val="18"/>
                <w:lang w:val="ka-GE"/>
              </w:rPr>
              <w:t xml:space="preserve">უნდა </w:t>
            </w:r>
            <w:r w:rsidR="00C52C6B" w:rsidRPr="00F20590">
              <w:rPr>
                <w:rFonts w:ascii="Sylfaen" w:eastAsia="Times New Roman" w:hAnsi="Sylfaen" w:cs="Times New Roman"/>
                <w:color w:val="000000"/>
                <w:sz w:val="18"/>
                <w:szCs w:val="18"/>
                <w:lang w:val="ka-GE"/>
              </w:rPr>
              <w:t>იყო</w:t>
            </w:r>
            <w:r w:rsidR="00AC067D" w:rsidRPr="00F20590">
              <w:rPr>
                <w:rFonts w:ascii="Sylfaen" w:eastAsia="Times New Roman" w:hAnsi="Sylfaen" w:cs="Times New Roman"/>
                <w:color w:val="000000"/>
                <w:sz w:val="18"/>
                <w:szCs w:val="18"/>
                <w:lang w:val="ka-GE"/>
              </w:rPr>
              <w:t>ს</w:t>
            </w:r>
            <w:r w:rsidR="00C52C6B" w:rsidRPr="00F20590">
              <w:rPr>
                <w:rFonts w:ascii="Sylfaen" w:eastAsia="Times New Roman" w:hAnsi="Sylfaen" w:cs="Times New Roman"/>
                <w:color w:val="000000"/>
                <w:sz w:val="18"/>
                <w:szCs w:val="18"/>
                <w:lang w:val="ka-GE"/>
              </w:rPr>
              <w:t xml:space="preserve"> ლარებში</w:t>
            </w:r>
            <w:r w:rsidR="000C67D7" w:rsidRPr="00F20590">
              <w:rPr>
                <w:rFonts w:ascii="Sylfaen" w:eastAsia="Times New Roman" w:hAnsi="Sylfaen" w:cs="Times New Roman"/>
                <w:color w:val="000000"/>
                <w:sz w:val="18"/>
                <w:szCs w:val="18"/>
              </w:rPr>
              <w:t xml:space="preserve"> </w:t>
            </w:r>
            <w:r w:rsidR="000C67D7" w:rsidRPr="00F20590">
              <w:rPr>
                <w:rFonts w:ascii="Sylfaen" w:eastAsia="Times New Roman" w:hAnsi="Sylfaen" w:cs="Times New Roman"/>
                <w:color w:val="000000"/>
                <w:sz w:val="18"/>
                <w:szCs w:val="18"/>
                <w:lang w:val="ka-GE"/>
              </w:rPr>
              <w:t>ან დოლარში (გადახდა მოხდება გადახდის დღეს არსებული ეროვნული ბანკის კურსით)</w:t>
            </w:r>
            <w:r w:rsidR="00C52C6B" w:rsidRPr="00F20590">
              <w:rPr>
                <w:rFonts w:ascii="Sylfaen" w:eastAsia="Times New Roman" w:hAnsi="Sylfaen" w:cs="Times New Roman"/>
                <w:color w:val="000000"/>
                <w:sz w:val="18"/>
                <w:szCs w:val="18"/>
                <w:lang w:val="ka-GE"/>
              </w:rPr>
              <w:t>.</w:t>
            </w:r>
            <w:r w:rsidR="00F20590">
              <w:rPr>
                <w:rFonts w:ascii="Sylfaen" w:eastAsia="Times New Roman" w:hAnsi="Sylfaen" w:cs="Times New Roman"/>
                <w:color w:val="000000"/>
                <w:sz w:val="18"/>
                <w:szCs w:val="18"/>
              </w:rPr>
              <w:br/>
            </w:r>
          </w:p>
          <w:p w:rsidR="003057D7" w:rsidRPr="00F20590" w:rsidRDefault="00E83506" w:rsidP="003057D7">
            <w:pPr>
              <w:spacing w:line="240" w:lineRule="auto"/>
              <w:rPr>
                <w:rFonts w:ascii="Sylfaen" w:hAnsi="Sylfaen"/>
                <w:color w:val="000000" w:themeColor="text1"/>
                <w:sz w:val="18"/>
                <w:szCs w:val="18"/>
                <w:lang w:val="ka-GE"/>
              </w:rPr>
            </w:pPr>
            <w:r w:rsidRPr="00F20590">
              <w:rPr>
                <w:rFonts w:ascii="Sylfaen" w:hAnsi="Sylfaen"/>
                <w:color w:val="000000" w:themeColor="text1"/>
                <w:sz w:val="18"/>
                <w:szCs w:val="18"/>
                <w:lang w:val="ka-GE"/>
              </w:rPr>
              <w:t>გთხოვთ</w:t>
            </w:r>
            <w:r w:rsidR="0018538D" w:rsidRPr="00F20590">
              <w:rPr>
                <w:rFonts w:ascii="Sylfaen" w:hAnsi="Sylfaen"/>
                <w:color w:val="000000" w:themeColor="text1"/>
                <w:sz w:val="18"/>
                <w:szCs w:val="18"/>
                <w:lang w:val="ka-GE"/>
              </w:rPr>
              <w:t>,</w:t>
            </w:r>
            <w:r w:rsidRPr="00F20590">
              <w:rPr>
                <w:rFonts w:ascii="Sylfaen" w:hAnsi="Sylfaen"/>
                <w:color w:val="000000" w:themeColor="text1"/>
                <w:sz w:val="18"/>
                <w:szCs w:val="18"/>
                <w:lang w:val="ka-GE"/>
              </w:rPr>
              <w:t xml:space="preserve"> ტენდერის მასალა მოგვაწოდოთ დახურული კონვერტებით მისამართზე: </w:t>
            </w:r>
          </w:p>
          <w:p w:rsidR="00E83506" w:rsidRPr="00F20590" w:rsidRDefault="00E83506" w:rsidP="003057D7">
            <w:pPr>
              <w:spacing w:line="240" w:lineRule="auto"/>
              <w:rPr>
                <w:rFonts w:ascii="Sylfaen" w:hAnsi="Sylfaen"/>
                <w:b/>
                <w:color w:val="000000" w:themeColor="text1"/>
                <w:sz w:val="18"/>
                <w:szCs w:val="18"/>
                <w:lang w:val="ka-GE"/>
              </w:rPr>
            </w:pPr>
            <w:r w:rsidRPr="00F20590">
              <w:rPr>
                <w:rFonts w:ascii="Sylfaen" w:hAnsi="Sylfaen"/>
                <w:b/>
                <w:color w:val="000000" w:themeColor="text1"/>
                <w:sz w:val="18"/>
                <w:szCs w:val="18"/>
                <w:lang w:val="ka-GE"/>
              </w:rPr>
              <w:t xml:space="preserve">თბილისი, </w:t>
            </w:r>
            <w:r w:rsidR="00BA7DA5">
              <w:rPr>
                <w:rFonts w:ascii="Sylfaen" w:hAnsi="Sylfaen"/>
                <w:b/>
                <w:color w:val="000000" w:themeColor="text1"/>
                <w:sz w:val="18"/>
                <w:szCs w:val="18"/>
              </w:rPr>
              <w:t xml:space="preserve"> </w:t>
            </w:r>
            <w:r w:rsidRPr="00F20590">
              <w:rPr>
                <w:rFonts w:ascii="Sylfaen" w:hAnsi="Sylfaen"/>
                <w:b/>
                <w:color w:val="000000" w:themeColor="text1"/>
                <w:sz w:val="18"/>
                <w:szCs w:val="18"/>
                <w:lang w:val="ka-GE"/>
              </w:rPr>
              <w:t>ვაჟა-ფშაველას 71, მე-3 სართული, ოფისი</w:t>
            </w:r>
            <w:r w:rsidR="003057D7" w:rsidRPr="00F20590">
              <w:rPr>
                <w:rFonts w:ascii="Sylfaen" w:hAnsi="Sylfaen"/>
                <w:b/>
                <w:color w:val="000000" w:themeColor="text1"/>
                <w:sz w:val="18"/>
                <w:szCs w:val="18"/>
                <w:lang w:val="ka-GE"/>
              </w:rPr>
              <w:t xml:space="preserve"> 12</w:t>
            </w:r>
          </w:p>
          <w:p w:rsidR="00FD70CF" w:rsidRPr="00F20590" w:rsidRDefault="003057D7" w:rsidP="00B320EA">
            <w:pPr>
              <w:rPr>
                <w:rFonts w:ascii="Sylfaen" w:eastAsia="Times New Roman" w:hAnsi="Sylfaen" w:cs="Times New Roman"/>
                <w:color w:val="000000"/>
                <w:sz w:val="18"/>
                <w:szCs w:val="18"/>
                <w:lang w:val="ka-GE"/>
              </w:rPr>
            </w:pPr>
            <w:r w:rsidRPr="00F20590">
              <w:rPr>
                <w:rFonts w:ascii="Sylfaen" w:eastAsia="Times New Roman" w:hAnsi="Sylfaen" w:cs="Times New Roman"/>
                <w:color w:val="000000"/>
                <w:sz w:val="18"/>
                <w:szCs w:val="18"/>
                <w:lang w:val="ka-GE"/>
              </w:rPr>
              <w:t xml:space="preserve">შემოთავაზების გამოგზავნის ბოლო ვადაა </w:t>
            </w:r>
            <w:r w:rsidR="00BA7DA5">
              <w:rPr>
                <w:rFonts w:ascii="Sylfaen" w:eastAsia="Times New Roman" w:hAnsi="Sylfaen" w:cs="Times New Roman"/>
                <w:b/>
                <w:color w:val="000000"/>
                <w:sz w:val="18"/>
                <w:szCs w:val="18"/>
                <w:lang w:val="ka-GE"/>
              </w:rPr>
              <w:t>1</w:t>
            </w:r>
            <w:r w:rsidR="003E088C" w:rsidRPr="003E088C">
              <w:rPr>
                <w:rFonts w:ascii="Sylfaen" w:eastAsia="Times New Roman" w:hAnsi="Sylfaen" w:cs="Times New Roman"/>
                <w:b/>
                <w:color w:val="000000"/>
                <w:sz w:val="18"/>
                <w:szCs w:val="18"/>
                <w:lang w:val="ka-GE"/>
              </w:rPr>
              <w:t>9</w:t>
            </w:r>
            <w:r w:rsidR="00766F1B" w:rsidRPr="00F20590">
              <w:rPr>
                <w:rFonts w:ascii="Sylfaen" w:eastAsia="Times New Roman" w:hAnsi="Sylfaen" w:cs="Times New Roman"/>
                <w:b/>
                <w:color w:val="000000"/>
                <w:sz w:val="18"/>
                <w:szCs w:val="18"/>
                <w:lang w:val="ka-GE"/>
              </w:rPr>
              <w:t xml:space="preserve"> </w:t>
            </w:r>
            <w:r w:rsidR="008D0790" w:rsidRPr="00F20590">
              <w:rPr>
                <w:rFonts w:ascii="Sylfaen" w:eastAsia="Times New Roman" w:hAnsi="Sylfaen" w:cs="Times New Roman"/>
                <w:b/>
                <w:bCs/>
                <w:color w:val="000000"/>
                <w:sz w:val="18"/>
                <w:szCs w:val="18"/>
                <w:lang w:val="ka-GE"/>
              </w:rPr>
              <w:t xml:space="preserve"> მაისი,</w:t>
            </w:r>
            <w:r w:rsidRPr="00F20590">
              <w:rPr>
                <w:rFonts w:ascii="Sylfaen" w:eastAsia="Times New Roman" w:hAnsi="Sylfaen" w:cs="Times New Roman"/>
                <w:b/>
                <w:bCs/>
                <w:color w:val="000000"/>
                <w:sz w:val="18"/>
                <w:szCs w:val="18"/>
                <w:lang w:val="ka-GE"/>
              </w:rPr>
              <w:t xml:space="preserve">  201</w:t>
            </w:r>
            <w:r w:rsidR="00BA7DA5" w:rsidRPr="00BA7DA5">
              <w:rPr>
                <w:rFonts w:ascii="Sylfaen" w:eastAsia="Times New Roman" w:hAnsi="Sylfaen" w:cs="Times New Roman"/>
                <w:b/>
                <w:bCs/>
                <w:color w:val="000000"/>
                <w:sz w:val="18"/>
                <w:szCs w:val="18"/>
                <w:lang w:val="ka-GE"/>
              </w:rPr>
              <w:t>7</w:t>
            </w:r>
            <w:r w:rsidR="008D0790" w:rsidRPr="00F20590">
              <w:rPr>
                <w:rFonts w:ascii="Sylfaen" w:eastAsia="Times New Roman" w:hAnsi="Sylfaen" w:cs="Times New Roman"/>
                <w:b/>
                <w:bCs/>
                <w:color w:val="000000"/>
                <w:sz w:val="18"/>
                <w:szCs w:val="18"/>
                <w:lang w:val="ka-GE"/>
              </w:rPr>
              <w:t xml:space="preserve"> წ</w:t>
            </w:r>
            <w:r w:rsidRPr="00F20590">
              <w:rPr>
                <w:rFonts w:ascii="Sylfaen" w:eastAsia="Times New Roman" w:hAnsi="Sylfaen" w:cs="Times New Roman"/>
                <w:b/>
                <w:bCs/>
                <w:color w:val="000000"/>
                <w:sz w:val="18"/>
                <w:szCs w:val="18"/>
                <w:lang w:val="ka-GE"/>
              </w:rPr>
              <w:t xml:space="preserve"> (18:00</w:t>
            </w:r>
            <w:r w:rsidR="005D5CB0" w:rsidRPr="00F20590">
              <w:rPr>
                <w:rFonts w:ascii="Sylfaen" w:eastAsia="Times New Roman" w:hAnsi="Sylfaen" w:cs="Times New Roman"/>
                <w:b/>
                <w:bCs/>
                <w:color w:val="000000"/>
                <w:sz w:val="18"/>
                <w:szCs w:val="18"/>
                <w:lang w:val="ka-GE"/>
              </w:rPr>
              <w:t xml:space="preserve"> სთ</w:t>
            </w:r>
            <w:r w:rsidRPr="00F20590">
              <w:rPr>
                <w:rFonts w:ascii="Sylfaen" w:eastAsia="Times New Roman" w:hAnsi="Sylfaen" w:cs="Times New Roman"/>
                <w:b/>
                <w:bCs/>
                <w:color w:val="000000"/>
                <w:sz w:val="18"/>
                <w:szCs w:val="18"/>
                <w:lang w:val="ka-GE"/>
              </w:rPr>
              <w:t>-მდე)</w:t>
            </w:r>
            <w:r w:rsidRPr="00F20590">
              <w:rPr>
                <w:rFonts w:ascii="Sylfaen" w:eastAsia="Times New Roman" w:hAnsi="Sylfaen" w:cs="Times New Roman"/>
                <w:color w:val="000000"/>
                <w:sz w:val="18"/>
                <w:szCs w:val="18"/>
                <w:lang w:val="ka-GE"/>
              </w:rPr>
              <w:br/>
            </w:r>
            <w:r w:rsidR="00E83506" w:rsidRPr="00F20590">
              <w:rPr>
                <w:rFonts w:ascii="Sylfaen" w:hAnsi="Sylfaen"/>
                <w:color w:val="000000" w:themeColor="text1"/>
                <w:sz w:val="18"/>
                <w:szCs w:val="18"/>
                <w:lang w:val="ka-GE"/>
              </w:rPr>
              <w:t>ტენდერში მონაწილეობის მიღების დასტური გთხოვთ</w:t>
            </w:r>
            <w:r w:rsidR="0018538D" w:rsidRPr="00F20590">
              <w:rPr>
                <w:rFonts w:ascii="Sylfaen" w:hAnsi="Sylfaen"/>
                <w:color w:val="000000" w:themeColor="text1"/>
                <w:sz w:val="18"/>
                <w:szCs w:val="18"/>
                <w:lang w:val="ka-GE"/>
              </w:rPr>
              <w:t>,</w:t>
            </w:r>
            <w:r w:rsidR="00E83506" w:rsidRPr="00F20590">
              <w:rPr>
                <w:rFonts w:ascii="Sylfaen" w:hAnsi="Sylfaen"/>
                <w:color w:val="000000" w:themeColor="text1"/>
                <w:sz w:val="18"/>
                <w:szCs w:val="18"/>
                <w:lang w:val="ka-GE"/>
              </w:rPr>
              <w:t xml:space="preserve"> გამოაგზავნოთ ელ.</w:t>
            </w:r>
            <w:r w:rsidR="004762EF" w:rsidRPr="004762EF">
              <w:rPr>
                <w:rFonts w:ascii="Sylfaen" w:hAnsi="Sylfaen"/>
                <w:color w:val="000000" w:themeColor="text1"/>
                <w:sz w:val="18"/>
                <w:szCs w:val="18"/>
                <w:lang w:val="ka-GE"/>
              </w:rPr>
              <w:t xml:space="preserve"> </w:t>
            </w:r>
            <w:r w:rsidR="00E83506" w:rsidRPr="00F20590">
              <w:rPr>
                <w:rFonts w:ascii="Sylfaen" w:hAnsi="Sylfaen"/>
                <w:color w:val="000000" w:themeColor="text1"/>
                <w:sz w:val="18"/>
                <w:szCs w:val="18"/>
                <w:lang w:val="ka-GE"/>
              </w:rPr>
              <w:t xml:space="preserve">ფოსტით: </w:t>
            </w:r>
            <w:hyperlink r:id="rId9" w:history="1">
              <w:r w:rsidR="00E83506" w:rsidRPr="00F20590">
                <w:rPr>
                  <w:rStyle w:val="Hyperlink"/>
                  <w:rFonts w:ascii="Sylfaen" w:hAnsi="Sylfaen"/>
                  <w:color w:val="000000" w:themeColor="text1"/>
                  <w:sz w:val="18"/>
                  <w:szCs w:val="18"/>
                  <w:lang w:val="ka-GE"/>
                </w:rPr>
                <w:t>lmujirishvili@finca.ge</w:t>
              </w:r>
            </w:hyperlink>
            <w:r w:rsidR="00E83506" w:rsidRPr="00F20590">
              <w:rPr>
                <w:rFonts w:ascii="Sylfaen" w:hAnsi="Sylfaen"/>
                <w:color w:val="000000" w:themeColor="text1"/>
                <w:sz w:val="18"/>
                <w:szCs w:val="18"/>
                <w:lang w:val="ka-GE"/>
              </w:rPr>
              <w:t xml:space="preserve">; </w:t>
            </w:r>
            <w:r w:rsidR="0091123F" w:rsidRPr="00F20590">
              <w:rPr>
                <w:rFonts w:ascii="Sylfaen" w:hAnsi="Sylfaen"/>
                <w:color w:val="000000" w:themeColor="text1"/>
                <w:sz w:val="18"/>
                <w:szCs w:val="18"/>
                <w:lang w:val="ka-GE"/>
              </w:rPr>
              <w:t xml:space="preserve">და </w:t>
            </w:r>
            <w:hyperlink r:id="rId10" w:history="1">
              <w:r w:rsidR="008D0790" w:rsidRPr="00F20590">
                <w:rPr>
                  <w:rStyle w:val="Hyperlink"/>
                  <w:rFonts w:ascii="Sylfaen" w:hAnsi="Sylfaen"/>
                  <w:sz w:val="18"/>
                  <w:szCs w:val="18"/>
                  <w:lang w:val="ka-GE"/>
                </w:rPr>
                <w:t>tjanigashvili@finca.ge</w:t>
              </w:r>
            </w:hyperlink>
            <w:r w:rsidR="00115D93" w:rsidRPr="00F20590">
              <w:rPr>
                <w:rFonts w:ascii="Sylfaen" w:hAnsi="Sylfaen"/>
                <w:sz w:val="18"/>
                <w:szCs w:val="18"/>
                <w:lang w:val="ka-GE"/>
              </w:rPr>
              <w:t xml:space="preserve">; </w:t>
            </w:r>
          </w:p>
        </w:tc>
      </w:tr>
    </w:tbl>
    <w:p w:rsidR="00317796" w:rsidRPr="00452352" w:rsidRDefault="00317796">
      <w:pPr>
        <w:rPr>
          <w:rFonts w:ascii="Sylfaen" w:hAnsi="Sylfaen"/>
          <w:sz w:val="18"/>
          <w:szCs w:val="18"/>
          <w:lang w:val="ka-GE"/>
        </w:rPr>
      </w:pPr>
      <w:bookmarkStart w:id="0" w:name="_GoBack"/>
      <w:bookmarkEnd w:id="0"/>
    </w:p>
    <w:sectPr w:rsidR="00317796" w:rsidRPr="00452352" w:rsidSect="00120D65">
      <w:pgSz w:w="12240" w:h="15840"/>
      <w:pgMar w:top="142"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36" w:rsidRDefault="008F6236" w:rsidP="00424157">
      <w:pPr>
        <w:spacing w:after="0" w:line="240" w:lineRule="auto"/>
      </w:pPr>
      <w:r>
        <w:separator/>
      </w:r>
    </w:p>
  </w:endnote>
  <w:endnote w:type="continuationSeparator" w:id="0">
    <w:p w:rsidR="008F6236" w:rsidRDefault="008F6236" w:rsidP="0042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36" w:rsidRDefault="008F6236" w:rsidP="00424157">
      <w:pPr>
        <w:spacing w:after="0" w:line="240" w:lineRule="auto"/>
      </w:pPr>
      <w:r>
        <w:separator/>
      </w:r>
    </w:p>
  </w:footnote>
  <w:footnote w:type="continuationSeparator" w:id="0">
    <w:p w:rsidR="008F6236" w:rsidRDefault="008F6236" w:rsidP="00424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AE0"/>
    <w:multiLevelType w:val="hybridMultilevel"/>
    <w:tmpl w:val="8C728E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B1A136A"/>
    <w:multiLevelType w:val="hybridMultilevel"/>
    <w:tmpl w:val="8E18AAB2"/>
    <w:lvl w:ilvl="0" w:tplc="6EAC355C">
      <w:start w:val="1"/>
      <w:numFmt w:val="decimal"/>
      <w:lvlText w:val="%1)"/>
      <w:lvlJc w:val="left"/>
      <w:pPr>
        <w:ind w:left="720" w:hanging="360"/>
      </w:pPr>
      <w:rPr>
        <w:rFonts w:eastAsia="Times New Roman" w:cs="Times New Roman"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25272"/>
    <w:multiLevelType w:val="hybridMultilevel"/>
    <w:tmpl w:val="696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459C4"/>
    <w:multiLevelType w:val="hybridMultilevel"/>
    <w:tmpl w:val="9A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F"/>
    <w:rsid w:val="00020454"/>
    <w:rsid w:val="000A0158"/>
    <w:rsid w:val="000C67D7"/>
    <w:rsid w:val="000D2764"/>
    <w:rsid w:val="00102B9B"/>
    <w:rsid w:val="00106B3C"/>
    <w:rsid w:val="00115D93"/>
    <w:rsid w:val="00120D65"/>
    <w:rsid w:val="00170623"/>
    <w:rsid w:val="0018538D"/>
    <w:rsid w:val="00190FD1"/>
    <w:rsid w:val="001C38CD"/>
    <w:rsid w:val="001F501C"/>
    <w:rsid w:val="00203289"/>
    <w:rsid w:val="0022525B"/>
    <w:rsid w:val="00274184"/>
    <w:rsid w:val="002B1450"/>
    <w:rsid w:val="002D0A9E"/>
    <w:rsid w:val="002E3727"/>
    <w:rsid w:val="003057D7"/>
    <w:rsid w:val="003117E1"/>
    <w:rsid w:val="00317796"/>
    <w:rsid w:val="003A272E"/>
    <w:rsid w:val="003E088C"/>
    <w:rsid w:val="00424157"/>
    <w:rsid w:val="00452352"/>
    <w:rsid w:val="0047586C"/>
    <w:rsid w:val="004762EF"/>
    <w:rsid w:val="00554B2C"/>
    <w:rsid w:val="00584F86"/>
    <w:rsid w:val="005A24F8"/>
    <w:rsid w:val="005B01F8"/>
    <w:rsid w:val="005C62C2"/>
    <w:rsid w:val="005D5CB0"/>
    <w:rsid w:val="005F439F"/>
    <w:rsid w:val="00623351"/>
    <w:rsid w:val="00667EBE"/>
    <w:rsid w:val="006D4897"/>
    <w:rsid w:val="00734E9A"/>
    <w:rsid w:val="0074554B"/>
    <w:rsid w:val="00766F1B"/>
    <w:rsid w:val="007912A8"/>
    <w:rsid w:val="007C4DDD"/>
    <w:rsid w:val="007C50C3"/>
    <w:rsid w:val="007E2C83"/>
    <w:rsid w:val="007E4945"/>
    <w:rsid w:val="007F589D"/>
    <w:rsid w:val="008572AE"/>
    <w:rsid w:val="008C4CE3"/>
    <w:rsid w:val="008D0790"/>
    <w:rsid w:val="008D3B50"/>
    <w:rsid w:val="008F4D63"/>
    <w:rsid w:val="008F6236"/>
    <w:rsid w:val="008F7D06"/>
    <w:rsid w:val="00906996"/>
    <w:rsid w:val="0091123F"/>
    <w:rsid w:val="0093116F"/>
    <w:rsid w:val="00936B83"/>
    <w:rsid w:val="009417FF"/>
    <w:rsid w:val="009854B5"/>
    <w:rsid w:val="009A3490"/>
    <w:rsid w:val="009A7E52"/>
    <w:rsid w:val="009B0114"/>
    <w:rsid w:val="009D3DDE"/>
    <w:rsid w:val="00A0049D"/>
    <w:rsid w:val="00A176B2"/>
    <w:rsid w:val="00A235F1"/>
    <w:rsid w:val="00A31B36"/>
    <w:rsid w:val="00A471BB"/>
    <w:rsid w:val="00AC067D"/>
    <w:rsid w:val="00B320EA"/>
    <w:rsid w:val="00B4450A"/>
    <w:rsid w:val="00B45284"/>
    <w:rsid w:val="00B46E6C"/>
    <w:rsid w:val="00B6644B"/>
    <w:rsid w:val="00B85BD3"/>
    <w:rsid w:val="00B907C3"/>
    <w:rsid w:val="00BA7DA5"/>
    <w:rsid w:val="00BB5107"/>
    <w:rsid w:val="00BB54E0"/>
    <w:rsid w:val="00BC5B5E"/>
    <w:rsid w:val="00BC6AC2"/>
    <w:rsid w:val="00C52C6B"/>
    <w:rsid w:val="00C82BF3"/>
    <w:rsid w:val="00CC3B91"/>
    <w:rsid w:val="00CF6F77"/>
    <w:rsid w:val="00D06FEF"/>
    <w:rsid w:val="00D86B04"/>
    <w:rsid w:val="00D978EE"/>
    <w:rsid w:val="00DC7B78"/>
    <w:rsid w:val="00DE484C"/>
    <w:rsid w:val="00DF622E"/>
    <w:rsid w:val="00E03F9E"/>
    <w:rsid w:val="00E453AB"/>
    <w:rsid w:val="00E5212C"/>
    <w:rsid w:val="00E64F13"/>
    <w:rsid w:val="00E82761"/>
    <w:rsid w:val="00E83506"/>
    <w:rsid w:val="00E86D18"/>
    <w:rsid w:val="00E9556F"/>
    <w:rsid w:val="00EE0ACA"/>
    <w:rsid w:val="00F02DA6"/>
    <w:rsid w:val="00F20590"/>
    <w:rsid w:val="00F3582E"/>
    <w:rsid w:val="00F431DB"/>
    <w:rsid w:val="00F7741B"/>
    <w:rsid w:val="00FC17CA"/>
    <w:rsid w:val="00FD70CF"/>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91"/>
    <w:pPr>
      <w:ind w:left="720"/>
      <w:contextualSpacing/>
    </w:pPr>
  </w:style>
  <w:style w:type="paragraph" w:styleId="Header">
    <w:name w:val="header"/>
    <w:basedOn w:val="Normal"/>
    <w:link w:val="HeaderChar"/>
    <w:uiPriority w:val="99"/>
    <w:unhideWhenUsed/>
    <w:rsid w:val="0042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57"/>
  </w:style>
  <w:style w:type="paragraph" w:styleId="Footer">
    <w:name w:val="footer"/>
    <w:basedOn w:val="Normal"/>
    <w:link w:val="FooterChar"/>
    <w:uiPriority w:val="99"/>
    <w:unhideWhenUsed/>
    <w:rsid w:val="0042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57"/>
  </w:style>
  <w:style w:type="character" w:styleId="Hyperlink">
    <w:name w:val="Hyperlink"/>
    <w:basedOn w:val="DefaultParagraphFont"/>
    <w:uiPriority w:val="99"/>
    <w:unhideWhenUsed/>
    <w:rsid w:val="00E83506"/>
    <w:rPr>
      <w:color w:val="0000FF"/>
      <w:u w:val="single"/>
    </w:rPr>
  </w:style>
  <w:style w:type="paragraph" w:styleId="BalloonText">
    <w:name w:val="Balloon Text"/>
    <w:basedOn w:val="Normal"/>
    <w:link w:val="BalloonTextChar"/>
    <w:uiPriority w:val="99"/>
    <w:semiHidden/>
    <w:unhideWhenUsed/>
    <w:rsid w:val="00B3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EA"/>
    <w:rPr>
      <w:rFonts w:ascii="Tahoma" w:hAnsi="Tahoma" w:cs="Tahoma"/>
      <w:sz w:val="16"/>
      <w:szCs w:val="16"/>
    </w:rPr>
  </w:style>
  <w:style w:type="character" w:styleId="FollowedHyperlink">
    <w:name w:val="FollowedHyperlink"/>
    <w:basedOn w:val="DefaultParagraphFont"/>
    <w:uiPriority w:val="99"/>
    <w:semiHidden/>
    <w:unhideWhenUsed/>
    <w:rsid w:val="004762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91"/>
    <w:pPr>
      <w:ind w:left="720"/>
      <w:contextualSpacing/>
    </w:pPr>
  </w:style>
  <w:style w:type="paragraph" w:styleId="Header">
    <w:name w:val="header"/>
    <w:basedOn w:val="Normal"/>
    <w:link w:val="HeaderChar"/>
    <w:uiPriority w:val="99"/>
    <w:unhideWhenUsed/>
    <w:rsid w:val="0042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57"/>
  </w:style>
  <w:style w:type="paragraph" w:styleId="Footer">
    <w:name w:val="footer"/>
    <w:basedOn w:val="Normal"/>
    <w:link w:val="FooterChar"/>
    <w:uiPriority w:val="99"/>
    <w:unhideWhenUsed/>
    <w:rsid w:val="0042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57"/>
  </w:style>
  <w:style w:type="character" w:styleId="Hyperlink">
    <w:name w:val="Hyperlink"/>
    <w:basedOn w:val="DefaultParagraphFont"/>
    <w:uiPriority w:val="99"/>
    <w:unhideWhenUsed/>
    <w:rsid w:val="00E83506"/>
    <w:rPr>
      <w:color w:val="0000FF"/>
      <w:u w:val="single"/>
    </w:rPr>
  </w:style>
  <w:style w:type="paragraph" w:styleId="BalloonText">
    <w:name w:val="Balloon Text"/>
    <w:basedOn w:val="Normal"/>
    <w:link w:val="BalloonTextChar"/>
    <w:uiPriority w:val="99"/>
    <w:semiHidden/>
    <w:unhideWhenUsed/>
    <w:rsid w:val="00B3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EA"/>
    <w:rPr>
      <w:rFonts w:ascii="Tahoma" w:hAnsi="Tahoma" w:cs="Tahoma"/>
      <w:sz w:val="16"/>
      <w:szCs w:val="16"/>
    </w:rPr>
  </w:style>
  <w:style w:type="character" w:styleId="FollowedHyperlink">
    <w:name w:val="FollowedHyperlink"/>
    <w:basedOn w:val="DefaultParagraphFont"/>
    <w:uiPriority w:val="99"/>
    <w:semiHidden/>
    <w:unhideWhenUsed/>
    <w:rsid w:val="00476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janigashvili@finca.ge" TargetMode="External"/><Relationship Id="rId4" Type="http://schemas.openxmlformats.org/officeDocument/2006/relationships/settings" Target="settings.xml"/><Relationship Id="rId9" Type="http://schemas.openxmlformats.org/officeDocument/2006/relationships/hyperlink" Target="mailto:lmujirishvili@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Teona Janigashvili</cp:lastModifiedBy>
  <cp:revision>21</cp:revision>
  <cp:lastPrinted>2017-05-02T08:31:00Z</cp:lastPrinted>
  <dcterms:created xsi:type="dcterms:W3CDTF">2014-05-05T11:07:00Z</dcterms:created>
  <dcterms:modified xsi:type="dcterms:W3CDTF">2017-05-02T08:32:00Z</dcterms:modified>
</cp:coreProperties>
</file>